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173278" w:rsidRDefault="00173278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EA304D" w:rsidRPr="00173278" w:rsidRDefault="00EA304D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D25517" w:rsidRPr="00727CCC" w:rsidRDefault="00D25517" w:rsidP="006146A8">
      <w:pPr>
        <w:spacing w:after="0"/>
        <w:ind w:firstLine="709"/>
        <w:jc w:val="both"/>
        <w:rPr>
          <w:rFonts w:ascii="Segoe UI" w:hAnsi="Segoe UI" w:cs="Segoe UI"/>
        </w:rPr>
      </w:pPr>
    </w:p>
    <w:p w:rsidR="00D25517" w:rsidRPr="00727CCC" w:rsidRDefault="00D81539" w:rsidP="00D81539">
      <w:pPr>
        <w:spacing w:after="0" w:line="240" w:lineRule="auto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В</w:t>
      </w:r>
      <w:r w:rsidRPr="00727CCC">
        <w:rPr>
          <w:rFonts w:ascii="Segoe UI" w:hAnsi="Segoe UI" w:cs="Segoe UI"/>
          <w:sz w:val="32"/>
          <w:szCs w:val="32"/>
        </w:rPr>
        <w:t xml:space="preserve"> Тверской области</w:t>
      </w:r>
      <w:r>
        <w:rPr>
          <w:rFonts w:ascii="Segoe UI" w:hAnsi="Segoe UI" w:cs="Segoe UI"/>
          <w:sz w:val="32"/>
          <w:szCs w:val="32"/>
        </w:rPr>
        <w:t xml:space="preserve"> </w:t>
      </w:r>
      <w:r w:rsidR="00B9266E">
        <w:rPr>
          <w:rFonts w:ascii="Segoe UI" w:hAnsi="Segoe UI" w:cs="Segoe UI"/>
          <w:sz w:val="32"/>
          <w:szCs w:val="32"/>
        </w:rPr>
        <w:t>в 2019 году</w:t>
      </w:r>
      <w:r w:rsidR="009446E6">
        <w:rPr>
          <w:rFonts w:ascii="Segoe UI" w:hAnsi="Segoe UI" w:cs="Segoe UI"/>
          <w:sz w:val="32"/>
          <w:szCs w:val="32"/>
        </w:rPr>
        <w:t xml:space="preserve"> </w:t>
      </w:r>
      <w:r w:rsidRPr="00727CCC">
        <w:rPr>
          <w:rFonts w:ascii="Segoe UI" w:hAnsi="Segoe UI" w:cs="Segoe UI"/>
          <w:sz w:val="32"/>
          <w:szCs w:val="32"/>
        </w:rPr>
        <w:t>Росреестром обследовано</w:t>
      </w:r>
      <w:r>
        <w:rPr>
          <w:rFonts w:ascii="Segoe UI" w:hAnsi="Segoe UI" w:cs="Segoe UI"/>
          <w:sz w:val="32"/>
          <w:szCs w:val="32"/>
        </w:rPr>
        <w:t xml:space="preserve"> </w:t>
      </w:r>
      <w:r w:rsidR="00B9266E">
        <w:rPr>
          <w:rFonts w:ascii="Segoe UI" w:hAnsi="Segoe UI" w:cs="Segoe UI"/>
          <w:sz w:val="32"/>
          <w:szCs w:val="32"/>
        </w:rPr>
        <w:t>128</w:t>
      </w:r>
      <w:r w:rsidR="00727CCC" w:rsidRPr="00727CCC">
        <w:rPr>
          <w:rFonts w:ascii="Segoe UI" w:hAnsi="Segoe UI" w:cs="Segoe UI"/>
          <w:sz w:val="32"/>
          <w:szCs w:val="32"/>
        </w:rPr>
        <w:t xml:space="preserve"> геодезических пунктов </w:t>
      </w:r>
    </w:p>
    <w:p w:rsidR="00727CCC" w:rsidRDefault="00727CCC" w:rsidP="00727CCC">
      <w:pPr>
        <w:spacing w:after="0"/>
        <w:jc w:val="both"/>
        <w:rPr>
          <w:rFonts w:ascii="Segoe UI" w:hAnsi="Segoe UI" w:cs="Segoe UI"/>
        </w:rPr>
      </w:pPr>
    </w:p>
    <w:p w:rsidR="00D4107B" w:rsidRDefault="00CA7285" w:rsidP="00CE675B">
      <w:pPr>
        <w:spacing w:after="0" w:line="240" w:lineRule="auto"/>
        <w:jc w:val="both"/>
        <w:rPr>
          <w:rFonts w:ascii="Segoe UI" w:hAnsi="Segoe UI" w:cs="Segoe UI"/>
        </w:rPr>
      </w:pPr>
      <w:r w:rsidRPr="00CA7285">
        <w:rPr>
          <w:rFonts w:ascii="Segoe UI" w:hAnsi="Segoe UI" w:cs="Segoe UI"/>
          <w:b/>
        </w:rPr>
        <w:t>6</w:t>
      </w:r>
      <w:r w:rsidR="00727CCC" w:rsidRPr="00727CCC">
        <w:rPr>
          <w:rFonts w:ascii="Segoe UI" w:hAnsi="Segoe UI" w:cs="Segoe UI"/>
          <w:b/>
        </w:rPr>
        <w:t xml:space="preserve"> </w:t>
      </w:r>
      <w:r w:rsidR="00B9266E">
        <w:rPr>
          <w:rFonts w:ascii="Segoe UI" w:hAnsi="Segoe UI" w:cs="Segoe UI"/>
          <w:b/>
        </w:rPr>
        <w:t>марта</w:t>
      </w:r>
      <w:r w:rsidR="00727CCC" w:rsidRPr="00727CCC">
        <w:rPr>
          <w:rFonts w:ascii="Segoe UI" w:hAnsi="Segoe UI" w:cs="Segoe UI"/>
          <w:b/>
        </w:rPr>
        <w:t xml:space="preserve"> 20</w:t>
      </w:r>
      <w:r w:rsidR="00B9266E">
        <w:rPr>
          <w:rFonts w:ascii="Segoe UI" w:hAnsi="Segoe UI" w:cs="Segoe UI"/>
          <w:b/>
        </w:rPr>
        <w:t>20</w:t>
      </w:r>
      <w:r w:rsidR="00727CCC" w:rsidRPr="00727CCC">
        <w:rPr>
          <w:rFonts w:ascii="Segoe UI" w:hAnsi="Segoe UI" w:cs="Segoe UI"/>
          <w:b/>
        </w:rPr>
        <w:t xml:space="preserve"> года</w:t>
      </w:r>
      <w:r w:rsidR="00727CCC">
        <w:rPr>
          <w:rFonts w:ascii="Segoe UI" w:hAnsi="Segoe UI" w:cs="Segoe UI"/>
        </w:rPr>
        <w:t xml:space="preserve"> </w:t>
      </w:r>
      <w:r w:rsidR="00D4107B">
        <w:rPr>
          <w:rFonts w:ascii="Segoe UI" w:hAnsi="Segoe UI" w:cs="Segoe UI"/>
        </w:rPr>
        <w:t>–</w:t>
      </w:r>
      <w:r w:rsidR="009B308D">
        <w:rPr>
          <w:rFonts w:ascii="Segoe UI" w:hAnsi="Segoe UI" w:cs="Segoe UI"/>
        </w:rPr>
        <w:t xml:space="preserve"> </w:t>
      </w:r>
      <w:r w:rsidR="00B9266E">
        <w:rPr>
          <w:rFonts w:ascii="Segoe UI" w:hAnsi="Segoe UI" w:cs="Segoe UI"/>
        </w:rPr>
        <w:t xml:space="preserve">В 2019 году </w:t>
      </w:r>
      <w:r w:rsidR="00D4107B">
        <w:rPr>
          <w:rFonts w:ascii="Segoe UI" w:hAnsi="Segoe UI" w:cs="Segoe UI"/>
        </w:rPr>
        <w:t xml:space="preserve">специалисты Управления Росреестра по Тверской области  обследовали </w:t>
      </w:r>
      <w:r w:rsidR="00B9266E">
        <w:rPr>
          <w:rFonts w:ascii="Segoe UI" w:hAnsi="Segoe UI" w:cs="Segoe UI"/>
        </w:rPr>
        <w:t>128</w:t>
      </w:r>
      <w:r w:rsidR="00D4107B">
        <w:rPr>
          <w:rFonts w:ascii="Segoe UI" w:hAnsi="Segoe UI" w:cs="Segoe UI"/>
        </w:rPr>
        <w:t xml:space="preserve"> пунктов государственной геодезической сети (ГГС), расположенные на территории региона. </w:t>
      </w:r>
      <w:r w:rsidR="00B9266E">
        <w:rPr>
          <w:rFonts w:ascii="Segoe UI" w:hAnsi="Segoe UI" w:cs="Segoe UI"/>
        </w:rPr>
        <w:t xml:space="preserve">Обследование показало, что </w:t>
      </w:r>
      <w:r w:rsidR="001977EC" w:rsidRPr="001977EC">
        <w:rPr>
          <w:rFonts w:ascii="Segoe UI" w:hAnsi="Segoe UI" w:cs="Segoe UI"/>
        </w:rPr>
        <w:t>16</w:t>
      </w:r>
      <w:r w:rsidR="00137E7C" w:rsidRPr="00137E7C">
        <w:rPr>
          <w:rFonts w:ascii="Segoe UI" w:hAnsi="Segoe UI" w:cs="Segoe UI"/>
        </w:rPr>
        <w:t xml:space="preserve"> </w:t>
      </w:r>
      <w:r w:rsidR="00D4107B">
        <w:rPr>
          <w:rFonts w:ascii="Segoe UI" w:hAnsi="Segoe UI" w:cs="Segoe UI"/>
        </w:rPr>
        <w:t xml:space="preserve">из них сохранились полностью, </w:t>
      </w:r>
      <w:r w:rsidR="001977EC" w:rsidRPr="001977EC">
        <w:rPr>
          <w:rFonts w:ascii="Segoe UI" w:hAnsi="Segoe UI" w:cs="Segoe UI"/>
        </w:rPr>
        <w:t>18</w:t>
      </w:r>
      <w:r w:rsidR="00B9266E">
        <w:rPr>
          <w:rFonts w:ascii="Segoe UI" w:hAnsi="Segoe UI" w:cs="Segoe UI"/>
        </w:rPr>
        <w:t xml:space="preserve"> </w:t>
      </w:r>
      <w:r w:rsidR="00D4107B">
        <w:rPr>
          <w:rFonts w:ascii="Segoe UI" w:hAnsi="Segoe UI" w:cs="Segoe UI"/>
        </w:rPr>
        <w:t>уничтожены (</w:t>
      </w:r>
      <w:r w:rsidR="00137E7C">
        <w:rPr>
          <w:rFonts w:ascii="Segoe UI" w:hAnsi="Segoe UI" w:cs="Segoe UI"/>
        </w:rPr>
        <w:t>не найдены</w:t>
      </w:r>
      <w:r w:rsidR="00D4107B">
        <w:rPr>
          <w:rFonts w:ascii="Segoe UI" w:hAnsi="Segoe UI" w:cs="Segoe UI"/>
        </w:rPr>
        <w:t xml:space="preserve">), у </w:t>
      </w:r>
      <w:r w:rsidR="001977EC" w:rsidRPr="001977EC">
        <w:rPr>
          <w:rFonts w:ascii="Segoe UI" w:hAnsi="Segoe UI" w:cs="Segoe UI"/>
        </w:rPr>
        <w:t xml:space="preserve">50 </w:t>
      </w:r>
      <w:r w:rsidR="001977EC">
        <w:rPr>
          <w:rFonts w:ascii="Segoe UI" w:hAnsi="Segoe UI" w:cs="Segoe UI"/>
        </w:rPr>
        <w:t>пунктов триангуляции</w:t>
      </w:r>
      <w:r w:rsidR="00D4107B">
        <w:rPr>
          <w:rFonts w:ascii="Segoe UI" w:hAnsi="Segoe UI" w:cs="Segoe UI"/>
        </w:rPr>
        <w:t xml:space="preserve"> уничтожены наружные знаки (пирамиды). </w:t>
      </w:r>
    </w:p>
    <w:p w:rsidR="00D4107B" w:rsidRDefault="00D4107B" w:rsidP="00CE675B">
      <w:pPr>
        <w:spacing w:after="0" w:line="240" w:lineRule="auto"/>
        <w:jc w:val="both"/>
        <w:rPr>
          <w:rFonts w:ascii="Segoe UI" w:hAnsi="Segoe UI" w:cs="Segoe UI"/>
        </w:rPr>
      </w:pPr>
    </w:p>
    <w:p w:rsidR="009B308D" w:rsidRPr="00656ED6" w:rsidRDefault="009B308D" w:rsidP="009B308D">
      <w:pPr>
        <w:spacing w:after="0" w:line="240" w:lineRule="auto"/>
        <w:jc w:val="both"/>
        <w:rPr>
          <w:rFonts w:ascii="Segoe UI" w:hAnsi="Segoe UI" w:cs="Segoe UI"/>
        </w:rPr>
      </w:pPr>
      <w:r w:rsidRPr="00656ED6">
        <w:rPr>
          <w:rFonts w:ascii="Segoe UI" w:hAnsi="Segoe UI" w:cs="Segoe UI"/>
        </w:rPr>
        <w:t>Основные причины утраты либо невозможности использования наземных пунктов – строительство, асфальтирование, зарастание кустарником и лесом, карьеры, заболоченность территории, свалка мусора и строительного материала (песка, щебня, плит), сельскохозяйственная деятельность. Наружные знаки – металлические пирамиды, опознавательные столбы, предохранительные колпаки – часто срезают на металлолом. Стенные пункты утрачиваются по причинам реконструкции зданий или их сноса и разрушения, выполнения фасадных работ, а зачастую пункты просто выломаны из стен зданий.</w:t>
      </w:r>
    </w:p>
    <w:p w:rsidR="00656ED6" w:rsidRDefault="00656ED6" w:rsidP="00CE675B">
      <w:pPr>
        <w:spacing w:after="0" w:line="240" w:lineRule="auto"/>
        <w:jc w:val="both"/>
        <w:rPr>
          <w:rFonts w:ascii="Segoe UI" w:hAnsi="Segoe UI" w:cs="Segoe UI"/>
          <w:b/>
        </w:rPr>
      </w:pPr>
    </w:p>
    <w:p w:rsidR="00656ED6" w:rsidRDefault="00656ED6" w:rsidP="00656ED6">
      <w:pPr>
        <w:spacing w:after="0" w:line="240" w:lineRule="auto"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</w:rPr>
        <w:t xml:space="preserve">Начальник отдела </w:t>
      </w:r>
      <w:r w:rsidRPr="007C3478">
        <w:rPr>
          <w:rFonts w:ascii="Segoe UI" w:hAnsi="Segoe UI" w:cs="Segoe UI"/>
          <w:b/>
        </w:rPr>
        <w:t>геодезии и картографии Управления Росреестра по Тверской области Ирина Бельская:</w:t>
      </w:r>
      <w:r>
        <w:rPr>
          <w:rFonts w:ascii="Segoe UI" w:hAnsi="Segoe UI" w:cs="Segoe UI"/>
        </w:rPr>
        <w:t xml:space="preserve"> «</w:t>
      </w:r>
      <w:r w:rsidRPr="00656ED6">
        <w:rPr>
          <w:rFonts w:ascii="Segoe UI" w:hAnsi="Segoe UI" w:cs="Segoe UI"/>
          <w:i/>
        </w:rPr>
        <w:t xml:space="preserve">Местные органы власти, землепользователи, собственники зачастую </w:t>
      </w:r>
      <w:r>
        <w:rPr>
          <w:rFonts w:ascii="Segoe UI" w:hAnsi="Segoe UI" w:cs="Segoe UI"/>
          <w:i/>
        </w:rPr>
        <w:t xml:space="preserve">просто </w:t>
      </w:r>
      <w:r w:rsidRPr="00656ED6">
        <w:rPr>
          <w:rFonts w:ascii="Segoe UI" w:hAnsi="Segoe UI" w:cs="Segoe UI"/>
          <w:i/>
        </w:rPr>
        <w:t>не знают о расположении на их земельных участках геодезических пунктов. В связи с этим Управлением проводится информирование населения по данному вопросу.</w:t>
      </w:r>
      <w:r>
        <w:rPr>
          <w:rFonts w:ascii="Segoe UI" w:hAnsi="Segoe UI" w:cs="Segoe UI"/>
          <w:i/>
        </w:rPr>
        <w:t xml:space="preserve"> Стоит отметить, что п</w:t>
      </w:r>
      <w:r w:rsidRPr="009B308D">
        <w:rPr>
          <w:rFonts w:ascii="Segoe UI" w:hAnsi="Segoe UI" w:cs="Segoe UI"/>
          <w:i/>
        </w:rPr>
        <w:t xml:space="preserve">ункты </w:t>
      </w:r>
      <w:r>
        <w:rPr>
          <w:rFonts w:ascii="Segoe UI" w:hAnsi="Segoe UI" w:cs="Segoe UI"/>
          <w:i/>
        </w:rPr>
        <w:t xml:space="preserve">ГГС охраняются государством. При этом </w:t>
      </w:r>
      <w:r w:rsidRPr="009B308D">
        <w:rPr>
          <w:rFonts w:ascii="Segoe UI" w:hAnsi="Segoe UI" w:cs="Segoe UI"/>
          <w:i/>
        </w:rPr>
        <w:t>о</w:t>
      </w:r>
      <w:r w:rsidRPr="009B308D">
        <w:rPr>
          <w:rFonts w:ascii="Segoe UI" w:hAnsi="Segoe UI" w:cs="Segoe UI"/>
          <w:i/>
          <w:color w:val="000000"/>
          <w:shd w:val="clear" w:color="auto" w:fill="FFFFFF"/>
        </w:rPr>
        <w:t xml:space="preserve">бязанности по их сохранности возложены на собственников земельных участков, на которых они расположены. Так, например, в </w:t>
      </w:r>
      <w:r w:rsidRPr="009B308D">
        <w:rPr>
          <w:rFonts w:ascii="Segoe UI" w:hAnsi="Segoe UI" w:cs="Segoe UI"/>
          <w:i/>
        </w:rPr>
        <w:t xml:space="preserve">пределах границ охранных зон пунктов запрещается использование земельных участков для осуществления видов деятельности, приводящих к повреждению или уничтожению пунктов, нарушению неизменности местоположения их центров. </w:t>
      </w:r>
      <w:r w:rsidRPr="009B308D">
        <w:rPr>
          <w:rFonts w:ascii="Segoe UI" w:hAnsi="Segoe UI" w:cs="Segoe UI"/>
          <w:i/>
          <w:color w:val="000000"/>
          <w:shd w:val="clear" w:color="auto" w:fill="FFFFFF"/>
        </w:rPr>
        <w:t>В случае обнаружения повреждений геопунктов, их утраты специалисты Росреестра уполномочены привлечь нарушителей-собственников к административной ответственности».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     </w:t>
      </w:r>
    </w:p>
    <w:p w:rsidR="00656ED6" w:rsidRDefault="00656ED6" w:rsidP="00CE675B">
      <w:pPr>
        <w:spacing w:after="0" w:line="240" w:lineRule="auto"/>
        <w:jc w:val="both"/>
        <w:rPr>
          <w:rFonts w:ascii="Segoe UI" w:hAnsi="Segoe UI" w:cs="Segoe UI"/>
        </w:rPr>
      </w:pPr>
    </w:p>
    <w:p w:rsidR="00D4107B" w:rsidRPr="009B308D" w:rsidRDefault="009B308D" w:rsidP="00CE675B">
      <w:pPr>
        <w:spacing w:after="0" w:line="240" w:lineRule="auto"/>
        <w:jc w:val="both"/>
        <w:rPr>
          <w:rFonts w:ascii="Segoe UI" w:hAnsi="Segoe UI" w:cs="Segoe UI"/>
        </w:rPr>
      </w:pPr>
      <w:r w:rsidRPr="009B308D">
        <w:rPr>
          <w:rFonts w:ascii="Segoe UI" w:hAnsi="Segoe UI" w:cs="Segoe UI"/>
        </w:rPr>
        <w:t>В тверском регионе мероприятия по обследованию и охране геодезических пунктов, созданных, в том числе, для</w:t>
      </w:r>
      <w:r w:rsidRPr="009B308D">
        <w:rPr>
          <w:rFonts w:ascii="Segoe UI" w:eastAsiaTheme="minorHAnsi" w:hAnsi="Segoe UI" w:cs="Segoe UI"/>
        </w:rPr>
        <w:t xml:space="preserve"> геодезического обеспечения кадастровой деятельности, ведутся с 2015 года.</w:t>
      </w:r>
      <w:r w:rsidR="00D4107B" w:rsidRPr="009B308D">
        <w:rPr>
          <w:rFonts w:ascii="Segoe UI" w:hAnsi="Segoe UI" w:cs="Segoe UI"/>
        </w:rPr>
        <w:t xml:space="preserve"> </w:t>
      </w:r>
      <w:r w:rsidR="00B9266E" w:rsidRPr="009B308D">
        <w:rPr>
          <w:rFonts w:ascii="Segoe UI" w:hAnsi="Segoe UI" w:cs="Segoe UI"/>
        </w:rPr>
        <w:t>За этот период всего обследовано 725 геодезических пунктов.</w:t>
      </w:r>
      <w:r w:rsidR="00B9266E" w:rsidRPr="009B308D">
        <w:t xml:space="preserve"> </w:t>
      </w:r>
      <w:r w:rsidR="009446E6" w:rsidRPr="009B308D">
        <w:rPr>
          <w:rFonts w:ascii="Segoe UI" w:hAnsi="Segoe UI" w:cs="Segoe UI"/>
        </w:rPr>
        <w:t xml:space="preserve">Кроме того, в целях обеспечения сохранности пунктов государственной геодезической, а также нивелирной сети </w:t>
      </w:r>
      <w:r w:rsidR="00727CCC" w:rsidRPr="009B308D">
        <w:rPr>
          <w:rFonts w:ascii="Segoe UI" w:hAnsi="Segoe UI" w:cs="Segoe UI"/>
        </w:rPr>
        <w:t xml:space="preserve">устанавливаются охранные зоны. </w:t>
      </w:r>
      <w:r w:rsidR="00D4107B" w:rsidRPr="009B308D">
        <w:rPr>
          <w:rFonts w:ascii="Segoe UI" w:hAnsi="Segoe UI" w:cs="Segoe UI"/>
        </w:rPr>
        <w:t>Решение об установлении охранных зон принимает Управление</w:t>
      </w:r>
      <w:r w:rsidR="009446E6" w:rsidRPr="009B308D">
        <w:rPr>
          <w:rFonts w:ascii="Segoe UI" w:hAnsi="Segoe UI" w:cs="Segoe UI"/>
        </w:rPr>
        <w:t xml:space="preserve">. С 2017 года по настоящее время Управлением Росреестра по </w:t>
      </w:r>
      <w:r w:rsidR="009446E6" w:rsidRPr="009B308D">
        <w:rPr>
          <w:rFonts w:ascii="Segoe UI" w:hAnsi="Segoe UI" w:cs="Segoe UI"/>
        </w:rPr>
        <w:lastRenderedPageBreak/>
        <w:t xml:space="preserve">Тверской области  установлены охранные зоны </w:t>
      </w:r>
      <w:r w:rsidR="001977EC">
        <w:rPr>
          <w:rFonts w:ascii="Segoe UI" w:hAnsi="Segoe UI" w:cs="Segoe UI"/>
        </w:rPr>
        <w:t>2037</w:t>
      </w:r>
      <w:r w:rsidR="009446E6" w:rsidRPr="009B308D">
        <w:rPr>
          <w:rFonts w:ascii="Segoe UI" w:hAnsi="Segoe UI" w:cs="Segoe UI"/>
        </w:rPr>
        <w:t xml:space="preserve"> пунктов государственных геодезической и нивелирной сетей. Данная работа будет продолжена</w:t>
      </w:r>
      <w:bookmarkStart w:id="0" w:name="_GoBack"/>
      <w:bookmarkEnd w:id="0"/>
      <w:r w:rsidR="00D4107B" w:rsidRPr="009B308D">
        <w:rPr>
          <w:rFonts w:ascii="Segoe UI" w:hAnsi="Segoe UI" w:cs="Segoe UI"/>
        </w:rPr>
        <w:t>.</w:t>
      </w:r>
    </w:p>
    <w:p w:rsidR="00656ED6" w:rsidRDefault="00656ED6" w:rsidP="00656ED6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u w:val="single"/>
          <w:lang w:eastAsia="ru-RU"/>
        </w:rPr>
      </w:pPr>
    </w:p>
    <w:p w:rsidR="00656ED6" w:rsidRPr="00D112F1" w:rsidRDefault="00656ED6" w:rsidP="00656ED6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u w:val="single"/>
          <w:lang w:eastAsia="ru-RU"/>
        </w:rPr>
      </w:pPr>
      <w:r w:rsidRPr="00D112F1">
        <w:rPr>
          <w:rFonts w:ascii="Segoe UI" w:eastAsia="Times New Roman" w:hAnsi="Segoe UI" w:cs="Segoe UI"/>
          <w:sz w:val="20"/>
          <w:szCs w:val="20"/>
          <w:u w:val="single"/>
          <w:lang w:eastAsia="ru-RU"/>
        </w:rPr>
        <w:t>Для справки:</w:t>
      </w:r>
    </w:p>
    <w:p w:rsidR="00656ED6" w:rsidRDefault="00656ED6" w:rsidP="00656ED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Профессиональный праздник</w:t>
      </w:r>
      <w:r w:rsidR="00E964CC">
        <w:rPr>
          <w:rFonts w:ascii="Segoe UI" w:hAnsi="Segoe UI" w:cs="Segoe UI"/>
          <w:sz w:val="20"/>
          <w:szCs w:val="20"/>
        </w:rPr>
        <w:t xml:space="preserve"> </w:t>
      </w:r>
      <w:r w:rsidRPr="00D112F1">
        <w:rPr>
          <w:rFonts w:ascii="Segoe UI" w:hAnsi="Segoe UI" w:cs="Segoe UI"/>
          <w:sz w:val="20"/>
          <w:szCs w:val="20"/>
        </w:rPr>
        <w:t>- День работников геодезии и картографии</w:t>
      </w:r>
      <w:r>
        <w:rPr>
          <w:rFonts w:ascii="Segoe UI" w:hAnsi="Segoe UI" w:cs="Segoe UI"/>
          <w:sz w:val="20"/>
          <w:szCs w:val="20"/>
        </w:rPr>
        <w:t xml:space="preserve"> по традиции </w:t>
      </w:r>
      <w:r w:rsidR="00C76179">
        <w:rPr>
          <w:rFonts w:ascii="Segoe UI" w:hAnsi="Segoe UI" w:cs="Segoe UI"/>
          <w:sz w:val="20"/>
          <w:szCs w:val="20"/>
        </w:rPr>
        <w:t xml:space="preserve">в России </w:t>
      </w:r>
      <w:r>
        <w:rPr>
          <w:rFonts w:ascii="Segoe UI" w:hAnsi="Segoe UI" w:cs="Segoe UI"/>
          <w:sz w:val="20"/>
          <w:szCs w:val="20"/>
        </w:rPr>
        <w:t xml:space="preserve">отмечается </w:t>
      </w:r>
      <w:r w:rsidR="00E964CC">
        <w:rPr>
          <w:rFonts w:ascii="Segoe UI" w:hAnsi="Segoe UI" w:cs="Segoe UI"/>
          <w:sz w:val="20"/>
          <w:szCs w:val="20"/>
        </w:rPr>
        <w:t xml:space="preserve">во второе воскресенье марта. </w:t>
      </w:r>
      <w:r>
        <w:rPr>
          <w:rFonts w:ascii="Segoe UI" w:hAnsi="Segoe UI" w:cs="Segoe UI"/>
          <w:sz w:val="20"/>
          <w:szCs w:val="20"/>
        </w:rPr>
        <w:t xml:space="preserve">В 2020 году </w:t>
      </w:r>
      <w:r w:rsidR="00E964CC">
        <w:rPr>
          <w:rFonts w:ascii="Segoe UI" w:hAnsi="Segoe UI" w:cs="Segoe UI"/>
          <w:sz w:val="20"/>
          <w:szCs w:val="20"/>
        </w:rPr>
        <w:t xml:space="preserve">этот </w:t>
      </w:r>
      <w:r w:rsidRPr="00D112F1">
        <w:rPr>
          <w:rFonts w:ascii="Segoe UI" w:hAnsi="Segoe UI" w:cs="Segoe UI"/>
          <w:sz w:val="20"/>
          <w:szCs w:val="20"/>
        </w:rPr>
        <w:t xml:space="preserve">праздник </w:t>
      </w:r>
      <w:r w:rsidR="00E964CC">
        <w:rPr>
          <w:rFonts w:ascii="Segoe UI" w:hAnsi="Segoe UI" w:cs="Segoe UI"/>
          <w:sz w:val="20"/>
          <w:szCs w:val="20"/>
        </w:rPr>
        <w:t>совпал с Международным женским днём -</w:t>
      </w:r>
      <w:r>
        <w:rPr>
          <w:rFonts w:ascii="Segoe UI" w:hAnsi="Segoe UI" w:cs="Segoe UI"/>
          <w:sz w:val="20"/>
          <w:szCs w:val="20"/>
        </w:rPr>
        <w:t xml:space="preserve"> 8 </w:t>
      </w:r>
      <w:r w:rsidR="00E964CC">
        <w:rPr>
          <w:rFonts w:ascii="Segoe UI" w:hAnsi="Segoe UI" w:cs="Segoe UI"/>
          <w:sz w:val="20"/>
          <w:szCs w:val="20"/>
        </w:rPr>
        <w:t>М</w:t>
      </w:r>
      <w:r>
        <w:rPr>
          <w:rFonts w:ascii="Segoe UI" w:hAnsi="Segoe UI" w:cs="Segoe UI"/>
          <w:sz w:val="20"/>
          <w:szCs w:val="20"/>
        </w:rPr>
        <w:t>арта</w:t>
      </w:r>
      <w:r w:rsidRPr="00D112F1">
        <w:rPr>
          <w:rFonts w:ascii="Segoe UI" w:hAnsi="Segoe UI" w:cs="Segoe UI"/>
          <w:sz w:val="20"/>
          <w:szCs w:val="20"/>
        </w:rPr>
        <w:t>. В торжествах принимают участие геодезисты, картографы, личный состав Топографической службы Вооружённых Сил РФ. Дата отмечается студентами, выпускниками, преподавателями профильных учебных заведений.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D112F1">
        <w:rPr>
          <w:rFonts w:ascii="Segoe UI" w:hAnsi="Segoe UI" w:cs="Segoe UI"/>
          <w:sz w:val="20"/>
          <w:szCs w:val="20"/>
        </w:rPr>
        <w:t>Почитание работников данной отрасли стало символом признания и данью уважения их труда.</w:t>
      </w:r>
    </w:p>
    <w:p w:rsidR="00656ED6" w:rsidRDefault="00656ED6" w:rsidP="00656ED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656ED6" w:rsidRPr="00D112F1" w:rsidRDefault="00656ED6" w:rsidP="00656ED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112F1">
        <w:rPr>
          <w:rFonts w:ascii="Segoe UI" w:hAnsi="Segoe UI" w:cs="Segoe UI"/>
          <w:sz w:val="20"/>
          <w:szCs w:val="20"/>
        </w:rPr>
        <w:t xml:space="preserve">Отдел геодезии и картографии Управления Росреестра по Тверской области был образован в мае 2010 года. На сегодняшний день </w:t>
      </w:r>
      <w:r>
        <w:rPr>
          <w:rFonts w:ascii="Segoe UI" w:hAnsi="Segoe UI" w:cs="Segoe UI"/>
          <w:sz w:val="20"/>
          <w:szCs w:val="20"/>
        </w:rPr>
        <w:t>пять</w:t>
      </w:r>
      <w:r w:rsidRPr="00D112F1">
        <w:rPr>
          <w:rFonts w:ascii="Segoe UI" w:hAnsi="Segoe UI" w:cs="Segoe UI"/>
          <w:sz w:val="20"/>
          <w:szCs w:val="20"/>
        </w:rPr>
        <w:t xml:space="preserve"> специалист</w:t>
      </w:r>
      <w:r>
        <w:rPr>
          <w:rFonts w:ascii="Segoe UI" w:hAnsi="Segoe UI" w:cs="Segoe UI"/>
          <w:sz w:val="20"/>
          <w:szCs w:val="20"/>
        </w:rPr>
        <w:t>ов</w:t>
      </w:r>
      <w:r w:rsidRPr="00D112F1">
        <w:rPr>
          <w:rFonts w:ascii="Segoe UI" w:hAnsi="Segoe UI" w:cs="Segoe UI"/>
          <w:sz w:val="20"/>
          <w:szCs w:val="20"/>
        </w:rPr>
        <w:t xml:space="preserve"> отдела успешно реализуют полномочия и функции в установленной сфере. </w:t>
      </w:r>
    </w:p>
    <w:p w:rsidR="00656ED6" w:rsidRPr="00D112F1" w:rsidRDefault="00656ED6" w:rsidP="00656ED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656ED6" w:rsidRPr="001605BF" w:rsidRDefault="00656ED6" w:rsidP="00656ED6">
      <w:pPr>
        <w:spacing w:after="0" w:line="240" w:lineRule="auto"/>
        <w:jc w:val="both"/>
        <w:rPr>
          <w:rFonts w:ascii="Segoe UI" w:eastAsia="Times New Roman" w:hAnsi="Segoe UI" w:cs="Segoe UI"/>
          <w:lang w:eastAsia="ru-RU"/>
        </w:rPr>
      </w:pPr>
      <w:r w:rsidRPr="00D112F1">
        <w:rPr>
          <w:rFonts w:ascii="Segoe UI" w:hAnsi="Segoe UI" w:cs="Segoe UI"/>
          <w:sz w:val="20"/>
          <w:szCs w:val="20"/>
        </w:rPr>
        <w:t>Управление Росреестра по Тверской области поздравляет коллег с их профессиональным праздником</w:t>
      </w:r>
      <w:r>
        <w:rPr>
          <w:rFonts w:ascii="Segoe UI" w:hAnsi="Segoe UI" w:cs="Segoe UI"/>
          <w:sz w:val="20"/>
          <w:szCs w:val="20"/>
        </w:rPr>
        <w:t xml:space="preserve"> и</w:t>
      </w:r>
      <w:r w:rsidRPr="00D112F1">
        <w:rPr>
          <w:rFonts w:ascii="Segoe UI" w:hAnsi="Segoe UI" w:cs="Segoe UI"/>
          <w:sz w:val="20"/>
          <w:szCs w:val="20"/>
        </w:rPr>
        <w:t xml:space="preserve"> жела</w:t>
      </w:r>
      <w:r>
        <w:rPr>
          <w:rFonts w:ascii="Segoe UI" w:hAnsi="Segoe UI" w:cs="Segoe UI"/>
          <w:sz w:val="20"/>
          <w:szCs w:val="20"/>
        </w:rPr>
        <w:t>ет</w:t>
      </w:r>
      <w:r w:rsidRPr="00D112F1">
        <w:rPr>
          <w:rFonts w:ascii="Segoe UI" w:hAnsi="Segoe UI" w:cs="Segoe UI"/>
          <w:sz w:val="20"/>
          <w:szCs w:val="20"/>
        </w:rPr>
        <w:t xml:space="preserve"> успехов на благо процветания отрасли.</w:t>
      </w:r>
    </w:p>
    <w:p w:rsidR="00396874" w:rsidRPr="0003071B" w:rsidRDefault="00771147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77114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799A"/>
    <w:rsid w:val="000A1CC4"/>
    <w:rsid w:val="000C0C88"/>
    <w:rsid w:val="000C4B3A"/>
    <w:rsid w:val="000C621E"/>
    <w:rsid w:val="000C6E6C"/>
    <w:rsid w:val="000D1E08"/>
    <w:rsid w:val="000D264D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37E7C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3181"/>
    <w:rsid w:val="00196734"/>
    <w:rsid w:val="001977EC"/>
    <w:rsid w:val="001A0443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6F6E"/>
    <w:rsid w:val="0026484D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218"/>
    <w:rsid w:val="002B5624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4A1C"/>
    <w:rsid w:val="003E4F7B"/>
    <w:rsid w:val="003F0E3E"/>
    <w:rsid w:val="003F2515"/>
    <w:rsid w:val="003F4EDD"/>
    <w:rsid w:val="0040132E"/>
    <w:rsid w:val="00403E63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55C6B"/>
    <w:rsid w:val="00460EE9"/>
    <w:rsid w:val="004626CC"/>
    <w:rsid w:val="0046753A"/>
    <w:rsid w:val="00474CD8"/>
    <w:rsid w:val="0047588C"/>
    <w:rsid w:val="004827E9"/>
    <w:rsid w:val="00482ADC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4ED2"/>
    <w:rsid w:val="005066AC"/>
    <w:rsid w:val="00512E4C"/>
    <w:rsid w:val="0051532B"/>
    <w:rsid w:val="00517695"/>
    <w:rsid w:val="0052016C"/>
    <w:rsid w:val="00520A05"/>
    <w:rsid w:val="00522592"/>
    <w:rsid w:val="00523E8B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C6A16"/>
    <w:rsid w:val="005D0301"/>
    <w:rsid w:val="005D4A37"/>
    <w:rsid w:val="005F5545"/>
    <w:rsid w:val="005F60F9"/>
    <w:rsid w:val="005F74FA"/>
    <w:rsid w:val="0060451E"/>
    <w:rsid w:val="00606B1B"/>
    <w:rsid w:val="00610B33"/>
    <w:rsid w:val="006146A8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56ED6"/>
    <w:rsid w:val="006643BE"/>
    <w:rsid w:val="006661D4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742F"/>
    <w:rsid w:val="006C0B03"/>
    <w:rsid w:val="006C7649"/>
    <w:rsid w:val="006E30BA"/>
    <w:rsid w:val="006E3978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27CCC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1147"/>
    <w:rsid w:val="007860AA"/>
    <w:rsid w:val="00787E1D"/>
    <w:rsid w:val="007967E7"/>
    <w:rsid w:val="007A0224"/>
    <w:rsid w:val="007A1B32"/>
    <w:rsid w:val="007B1EF9"/>
    <w:rsid w:val="007B2DD8"/>
    <w:rsid w:val="007C3478"/>
    <w:rsid w:val="007D3EC4"/>
    <w:rsid w:val="007D58C9"/>
    <w:rsid w:val="007E2303"/>
    <w:rsid w:val="007E26CF"/>
    <w:rsid w:val="007E2B93"/>
    <w:rsid w:val="007E5550"/>
    <w:rsid w:val="007E67D0"/>
    <w:rsid w:val="007F2CA0"/>
    <w:rsid w:val="00803EFF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3700C"/>
    <w:rsid w:val="0085066F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5BD5"/>
    <w:rsid w:val="00903596"/>
    <w:rsid w:val="00905A93"/>
    <w:rsid w:val="0091102E"/>
    <w:rsid w:val="00913946"/>
    <w:rsid w:val="00914C8A"/>
    <w:rsid w:val="00916B3D"/>
    <w:rsid w:val="00922E0A"/>
    <w:rsid w:val="009271C5"/>
    <w:rsid w:val="0093049A"/>
    <w:rsid w:val="00930A2F"/>
    <w:rsid w:val="00930CD3"/>
    <w:rsid w:val="00935005"/>
    <w:rsid w:val="009363AA"/>
    <w:rsid w:val="00936D1A"/>
    <w:rsid w:val="00937D24"/>
    <w:rsid w:val="009446E6"/>
    <w:rsid w:val="00953CB4"/>
    <w:rsid w:val="00955DEC"/>
    <w:rsid w:val="009565F9"/>
    <w:rsid w:val="009579ED"/>
    <w:rsid w:val="00961282"/>
    <w:rsid w:val="009730BE"/>
    <w:rsid w:val="0098228B"/>
    <w:rsid w:val="00994100"/>
    <w:rsid w:val="009957CE"/>
    <w:rsid w:val="009978F5"/>
    <w:rsid w:val="009A5E60"/>
    <w:rsid w:val="009A7DDE"/>
    <w:rsid w:val="009B283D"/>
    <w:rsid w:val="009B308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31429"/>
    <w:rsid w:val="00A33279"/>
    <w:rsid w:val="00A40807"/>
    <w:rsid w:val="00A41631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76E92"/>
    <w:rsid w:val="00A83FB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54"/>
    <w:rsid w:val="00B30E7A"/>
    <w:rsid w:val="00B355C4"/>
    <w:rsid w:val="00B36525"/>
    <w:rsid w:val="00B4189F"/>
    <w:rsid w:val="00B41A1F"/>
    <w:rsid w:val="00B43F1D"/>
    <w:rsid w:val="00B618C4"/>
    <w:rsid w:val="00B6244C"/>
    <w:rsid w:val="00B636D4"/>
    <w:rsid w:val="00B6674E"/>
    <w:rsid w:val="00B724BD"/>
    <w:rsid w:val="00B7622A"/>
    <w:rsid w:val="00B764A5"/>
    <w:rsid w:val="00B836F1"/>
    <w:rsid w:val="00B84220"/>
    <w:rsid w:val="00B87A19"/>
    <w:rsid w:val="00B92598"/>
    <w:rsid w:val="00B9266E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6868"/>
    <w:rsid w:val="00C102AF"/>
    <w:rsid w:val="00C12202"/>
    <w:rsid w:val="00C17007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70955"/>
    <w:rsid w:val="00C73861"/>
    <w:rsid w:val="00C76179"/>
    <w:rsid w:val="00C86719"/>
    <w:rsid w:val="00C86DD4"/>
    <w:rsid w:val="00C953F5"/>
    <w:rsid w:val="00C95D05"/>
    <w:rsid w:val="00CA20A4"/>
    <w:rsid w:val="00CA7285"/>
    <w:rsid w:val="00CA7454"/>
    <w:rsid w:val="00CB7BEC"/>
    <w:rsid w:val="00CC03D8"/>
    <w:rsid w:val="00CC28C2"/>
    <w:rsid w:val="00CC2C6B"/>
    <w:rsid w:val="00CC31A5"/>
    <w:rsid w:val="00CD162B"/>
    <w:rsid w:val="00CD4425"/>
    <w:rsid w:val="00CE128A"/>
    <w:rsid w:val="00CE310F"/>
    <w:rsid w:val="00CE4DCD"/>
    <w:rsid w:val="00CE675B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25517"/>
    <w:rsid w:val="00D33972"/>
    <w:rsid w:val="00D34113"/>
    <w:rsid w:val="00D34BBC"/>
    <w:rsid w:val="00D40D64"/>
    <w:rsid w:val="00D4107B"/>
    <w:rsid w:val="00D41FF1"/>
    <w:rsid w:val="00D4398C"/>
    <w:rsid w:val="00D43D8B"/>
    <w:rsid w:val="00D468B4"/>
    <w:rsid w:val="00D46B5E"/>
    <w:rsid w:val="00D514D1"/>
    <w:rsid w:val="00D51E4A"/>
    <w:rsid w:val="00D52297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1539"/>
    <w:rsid w:val="00D87D89"/>
    <w:rsid w:val="00D97035"/>
    <w:rsid w:val="00DA08AA"/>
    <w:rsid w:val="00DA6203"/>
    <w:rsid w:val="00DA6D3F"/>
    <w:rsid w:val="00DA70F1"/>
    <w:rsid w:val="00DB190E"/>
    <w:rsid w:val="00DB2EA4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4F19"/>
    <w:rsid w:val="00E122AB"/>
    <w:rsid w:val="00E12FDD"/>
    <w:rsid w:val="00E17A2B"/>
    <w:rsid w:val="00E20B31"/>
    <w:rsid w:val="00E27986"/>
    <w:rsid w:val="00E306E8"/>
    <w:rsid w:val="00E313A2"/>
    <w:rsid w:val="00E33586"/>
    <w:rsid w:val="00E338A0"/>
    <w:rsid w:val="00E349A6"/>
    <w:rsid w:val="00E508C0"/>
    <w:rsid w:val="00E53F9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964CC"/>
    <w:rsid w:val="00EA304D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F14DC8"/>
    <w:rsid w:val="00F15380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493D"/>
    <w:rsid w:val="00FA5459"/>
    <w:rsid w:val="00FA716C"/>
    <w:rsid w:val="00FB4CBC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46BD"/>
    <w:rsid w:val="00FD624B"/>
    <w:rsid w:val="00FD772F"/>
    <w:rsid w:val="00FE0C51"/>
    <w:rsid w:val="00FE17A1"/>
    <w:rsid w:val="00FE3E3F"/>
    <w:rsid w:val="00FF4498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7</cp:revision>
  <cp:lastPrinted>2020-03-05T09:58:00Z</cp:lastPrinted>
  <dcterms:created xsi:type="dcterms:W3CDTF">2020-03-05T09:17:00Z</dcterms:created>
  <dcterms:modified xsi:type="dcterms:W3CDTF">2020-03-11T06:07:00Z</dcterms:modified>
</cp:coreProperties>
</file>